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68" w:rsidRDefault="007B1768" w:rsidP="007B1768">
      <w:pPr>
        <w:jc w:val="center"/>
        <w:rPr>
          <w:rFonts w:ascii="Times New Roman" w:hAnsi="Times New Roman" w:cs="Times New Roman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سورة الاسراء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وَقَضَىٰ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رَبُّكَ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أَلَّا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تَعْبُدُوٓا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۟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إِلَّآ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إِيَّاهُ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وَبِٱلْوَٰلِدَيْنِ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إِحْسَـٰنًا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ۚ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إِمَّا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يَبْلُغَنَّ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عِندَكَ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ٱلْكِبَرَ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أَحَدُهُمَآ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أَوْ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كِلَاهُمَا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فَلَا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تَقُل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لَّهُمَآ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أُفٍّ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ۢ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تَنْهَرْهُ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مَا وَقُل لَّهُمَا قَوْلً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كَرِيمً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٢٣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وَٱخْفِضْ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لَهُمَا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جَنَاحَ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ٱلذُّلِّ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مِنَ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ٱلرَّحْمَةِ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وَقُل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رَّبِّ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ٱرْحَمْهُمَا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كَمَا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رَبَّيَانِى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صَغِيرً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٢٤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رَّبُّكُمْ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أَعْلَمُ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بِمَا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فِى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نُفُوسِكُمْ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ۚ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إِن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تَكُونُوا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۟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صَـٰلِحِينَ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فَإِنَّهُ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ۥ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لِلْأَوَّٰبِينَ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غَ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فُورً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٢٥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وَءَاتِ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ذَا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ٱلْقُرْبَىٰ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حَقَّهُ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ۥ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وَٱلْمِسْكِينَ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وَٱبْنَ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ٱلسَّبِيلِ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تُبَذِّرْ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تَبْذِيرًا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٢٦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إِنَّ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ٱلْمُبَذِّرِينَ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كَانُوٓا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۟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إِخْوَٰنَ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ٱلشَّيَـٰطِينِ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ۖ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وَكَانَ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ٱلشَّيْطَـٰنُ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لِرَبِّهِ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ۦ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كَفُورً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وَإِمَّا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تُعْرِضَنَّ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عَنْهُمُ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ٱبْتِغَآءَ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َحْمَةٍ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ۢ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مِّن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رَّبِّكَ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تَرْجُوهَا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فَقُل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لَّهُمْ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قَوْلً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مَّيْسُورً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٢٨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تَجْعَلْ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يَدَكَ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مَغْلُولَةً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إِلَىٰ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عُنُقِكَ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تَبْسُطْهَا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كُلَّ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ٱلْبَسْطِ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فَتَقْعُدَ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مَلُومً</w:t>
      </w:r>
      <w:r w:rsidRPr="007B1768">
        <w:rPr>
          <w:rFonts w:ascii="Times New Roman" w:hAnsi="Times New Roman" w:cs="Times New Roman" w:hint="cs"/>
          <w:sz w:val="32"/>
          <w:szCs w:val="32"/>
          <w:rtl/>
        </w:rPr>
        <w:t>ۭ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مَّحْسُورًا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sz w:val="32"/>
          <w:szCs w:val="32"/>
          <w:rtl/>
        </w:rPr>
        <w:t>٢٩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7B1768" w:rsidRPr="007B1768" w:rsidRDefault="007B1768" w:rsidP="007B1768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أولًا: المدخل العام للآيات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تندرج هذه الآيات ضمن مقطعٍ قرآنيٍّ يُعدّ من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أعظم المقاطع التشريعيّة الأخلاقيّة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في القرآن الكريم، إذ ترسم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سلسلة مترابطة من الأوامر والنواهي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تبدأ بالتوحيد، ثم تنتقل إلى الأسرة، فالمجتمع، فالاقتصاد، فالسلوك النفسيّ، في نسقٍ تصاعديٍّ دقيق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وقد عبّر بعض المفسّرين الإماميّة عن هذه الآيات بأنّها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"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وصايا قرآنيّة جامعة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"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، تشبه في بنيتها الوصايا العشْر في الشرائع السابقة، غير أنّها تمتاز بالربط بين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العقيدة والأخلاق والسلوك الاجتماعي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ثانيًا: شرح الآيات وبيان دلالاتها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1.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التوحيد وبرّ الوالدين (الآية 23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﴿وَقَضَىٰ رَبُّكَ أَلَّا تَعْبُدُوا</w:t>
      </w:r>
      <w:r w:rsidRPr="007B1768">
        <w:rPr>
          <w:rFonts w:ascii="Times New Roman" w:hAnsi="Times New Roman" w:cs="Times New Roman" w:hint="cs"/>
          <w:b/>
          <w:bCs/>
          <w:sz w:val="32"/>
          <w:szCs w:val="32"/>
          <w:rtl/>
        </w:rPr>
        <w:t>۟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إِلَّآ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إِيَّاهُ﴾</w:t>
      </w:r>
    </w:p>
    <w:p w:rsidR="007B1768" w:rsidRPr="007B1768" w:rsidRDefault="007B1768" w:rsidP="007B1768">
      <w:pPr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القضاء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هنا ـ كما يذكر الطبرسي والطباطبائي ـ ليس قضاءً قدريًّا، بل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قضاء تشريعيّ إلزاميّ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، أي أمرٌ مقطوعٌ به لا يقبل التراخي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تقديم التوحيد دليل على أنّه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أصل الأصول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، وكلّ القيم اللاحقة متفرّعة عنه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﴿وَبِٱلْوَٰلِدَيْنِ إِحْسَـٰنًا﴾</w:t>
      </w:r>
    </w:p>
    <w:p w:rsidR="007B1768" w:rsidRPr="007B1768" w:rsidRDefault="007B1768" w:rsidP="007B1768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عطفُ الإحسان إلى الوالدين مباشرةً على التوحيد يدلّ ـ بحسب تفسير الميزان ـ على أنّ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برّ الوالدين أعظم واجب اجتماعيّ بعد حقّ الله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الإحسان هنا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مطلق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 xml:space="preserve">: 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قولًا، وفعلًا، ونفقةً، وخدمةً، وصبرًا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2.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رعاية الوالدين عند الكِبَر (الآيتان 23–24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(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﴿فَلَا تَقُل لَّهُمَآ أُفٍّ﴾</w:t>
      </w:r>
    </w:p>
    <w:p w:rsidR="007B1768" w:rsidRPr="007B1768" w:rsidRDefault="007B1768" w:rsidP="007B1768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«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أُفّ» أدنى مراتب الأذى اللفظي، والنهي عنه يدلّ بالأولوية على تحريم ما فوقه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في الروايات عن الإمام الصادق (ع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):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br/>
      </w:r>
      <w:r w:rsidRPr="007B1768">
        <w:rPr>
          <w:rFonts w:ascii="Simplified Arabic" w:hAnsi="Simplified Arabic" w:cs="Simplified Arabic"/>
          <w:i/>
          <w:iCs/>
          <w:sz w:val="32"/>
          <w:szCs w:val="32"/>
          <w:lang w:bidi="ar-IQ"/>
        </w:rPr>
        <w:t>«</w:t>
      </w:r>
      <w:r w:rsidRPr="007B1768">
        <w:rPr>
          <w:rFonts w:ascii="Simplified Arabic" w:hAnsi="Simplified Arabic" w:cs="Simplified Arabic"/>
          <w:i/>
          <w:iCs/>
          <w:sz w:val="32"/>
          <w:szCs w:val="32"/>
          <w:rtl/>
        </w:rPr>
        <w:t>لو علم الله شيئًا أدنى من أُفّ لنهى عنه</w:t>
      </w:r>
      <w:r w:rsidRPr="007B1768">
        <w:rPr>
          <w:rFonts w:ascii="Simplified Arabic" w:hAnsi="Simplified Arabic" w:cs="Simplified Arabic"/>
          <w:i/>
          <w:iCs/>
          <w:sz w:val="32"/>
          <w:szCs w:val="32"/>
          <w:lang w:bidi="ar-IQ"/>
        </w:rPr>
        <w:t>»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﴿وَلَا تَنْهَرْهُمَا﴾</w:t>
      </w:r>
    </w:p>
    <w:p w:rsidR="007B1768" w:rsidRPr="007B1768" w:rsidRDefault="007B1768" w:rsidP="007B1768">
      <w:pPr>
        <w:numPr>
          <w:ilvl w:val="0"/>
          <w:numId w:val="4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النهي عن الزجر يشمل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القسوة النفسيّة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، لا مجرّد الصوت المرتفع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﴿وَقُل لَّهُمَا قَوْلًا كَرِيمًا﴾</w:t>
      </w:r>
    </w:p>
    <w:p w:rsidR="007B1768" w:rsidRPr="007B1768" w:rsidRDefault="007B1768" w:rsidP="007B1768">
      <w:pPr>
        <w:numPr>
          <w:ilvl w:val="0"/>
          <w:numId w:val="5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القول الكريم: كلامٌ يجمع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اللطف، والاحترام، وخفض الجناح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، حتّى لو كان الوالدان مخطئين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﴿وَاخْفِضْ لَهُمَا جَنَاحَ ٱلذُّلِّ مِنَ ٱلرَّحْمَةِ﴾</w:t>
      </w:r>
    </w:p>
    <w:p w:rsidR="007B1768" w:rsidRPr="007B1768" w:rsidRDefault="007B1768" w:rsidP="007B1768">
      <w:pPr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استعارة بليغة؛ شبّه الإنسان بطائرٍ يخفض جناحه تواضعًا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الذلّ هنا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عبوديّة حبّ لا مهانة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﴿وَقُل رَّبِّ ٱرْحَمْهُمَا﴾</w:t>
      </w:r>
    </w:p>
    <w:p w:rsidR="007B1768" w:rsidRPr="007B1768" w:rsidRDefault="007B1768" w:rsidP="007B1768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الدعاء للوالدين امتدادٌ للإحسان العمليّ، لا بديل عنه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استحضار التربية الماضية يربط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الذاكرة الأخلاقيّة بالواجب السلوكيّ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3.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الرقابة الباطنيّة الإلهيّة (الآية 25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)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﴿رَّبُّكُمْ أَعْلَمُ بِمَا فِى نُفُوسِكُمْ﴾</w:t>
      </w:r>
    </w:p>
    <w:p w:rsidR="007B1768" w:rsidRPr="007B1768" w:rsidRDefault="007B1768" w:rsidP="007B1768">
      <w:pPr>
        <w:numPr>
          <w:ilvl w:val="0"/>
          <w:numId w:val="8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يقرّر القرآن مبدأ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المحاسبة النيّاتيّة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8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الخطأ غير المتعمَّد مع الصلاح لا يوجب الإثم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﴿فَإِنَّهُ</w:t>
      </w:r>
      <w:r w:rsidRPr="007B1768">
        <w:rPr>
          <w:rFonts w:ascii="Times New Roman" w:hAnsi="Times New Roman" w:cs="Times New Roman" w:hint="cs"/>
          <w:b/>
          <w:bCs/>
          <w:sz w:val="32"/>
          <w:szCs w:val="32"/>
          <w:rtl/>
        </w:rPr>
        <w:t>ۥ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َانَ لِلْأَوَّٰبِينَ غَفُورًا﴾</w:t>
      </w:r>
    </w:p>
    <w:p w:rsidR="007B1768" w:rsidRPr="007B1768" w:rsidRDefault="007B1768" w:rsidP="007B1768">
      <w:pPr>
        <w:numPr>
          <w:ilvl w:val="0"/>
          <w:numId w:val="9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الأوّابون: كثيرو الرجوع إلى الله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9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المغفرة هنا مشروطة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بحياةٍ قائمة على التوبة لا التمرّد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4.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التكافل الاجتماعيّ وضبط الإنفاق (الآيات 26–27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)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﴿وَءَاتِ ذَا ٱلْقُرْبَىٰ حَقَّهُ﴾</w:t>
      </w:r>
    </w:p>
    <w:p w:rsidR="007B1768" w:rsidRPr="007B1768" w:rsidRDefault="007B1768" w:rsidP="007B1768">
      <w:pPr>
        <w:numPr>
          <w:ilvl w:val="0"/>
          <w:numId w:val="10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في تفسير القمّي والعيّاشي روايات معتبرة تشير إلى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صلة هذه الآية بحقّ ذوي القربى من أهل البيت (ع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)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>، ومنهم فاطمة (ع) في فدك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0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الآية تؤسّس لمبدأ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الحقّ لا الصدقة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﴿وَلَا تُبَذِّرْ تَبْذِيرًا﴾</w:t>
      </w:r>
    </w:p>
    <w:p w:rsidR="007B1768" w:rsidRPr="007B1768" w:rsidRDefault="007B1768" w:rsidP="007B1768">
      <w:pPr>
        <w:numPr>
          <w:ilvl w:val="0"/>
          <w:numId w:val="1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التبذير: صرف المال في غير موضعه، ولو في الحلال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في الروايات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 xml:space="preserve">: </w:t>
      </w:r>
      <w:r w:rsidRPr="007B1768">
        <w:rPr>
          <w:rFonts w:ascii="Simplified Arabic" w:hAnsi="Simplified Arabic" w:cs="Simplified Arabic"/>
          <w:i/>
          <w:iCs/>
          <w:sz w:val="32"/>
          <w:szCs w:val="32"/>
          <w:lang w:bidi="ar-IQ"/>
        </w:rPr>
        <w:t>«</w:t>
      </w:r>
      <w:r w:rsidRPr="007B1768">
        <w:rPr>
          <w:rFonts w:ascii="Simplified Arabic" w:hAnsi="Simplified Arabic" w:cs="Simplified Arabic"/>
          <w:i/>
          <w:iCs/>
          <w:sz w:val="32"/>
          <w:szCs w:val="32"/>
          <w:rtl/>
        </w:rPr>
        <w:t>المبذّر ينفق في الباطل</w:t>
      </w:r>
      <w:r w:rsidRPr="007B1768">
        <w:rPr>
          <w:rFonts w:ascii="Simplified Arabic" w:hAnsi="Simplified Arabic" w:cs="Simplified Arabic"/>
          <w:i/>
          <w:iCs/>
          <w:sz w:val="32"/>
          <w:szCs w:val="32"/>
          <w:lang w:bidi="ar-IQ"/>
        </w:rPr>
        <w:t>»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﴿إِنَّ ٱلْمُبَذِّرِينَ كَانُوٓا</w:t>
      </w:r>
      <w:r w:rsidRPr="007B1768">
        <w:rPr>
          <w:rFonts w:ascii="Times New Roman" w:hAnsi="Times New Roman" w:cs="Times New Roman" w:hint="cs"/>
          <w:b/>
          <w:bCs/>
          <w:sz w:val="32"/>
          <w:szCs w:val="32"/>
          <w:rtl/>
        </w:rPr>
        <w:t>۟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إِخْوَٰنَ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B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ٱلشَّيَـٰطِينِ﴾</w:t>
      </w:r>
    </w:p>
    <w:p w:rsidR="007B1768" w:rsidRPr="007B1768" w:rsidRDefault="007B1768" w:rsidP="007B1768">
      <w:pPr>
        <w:numPr>
          <w:ilvl w:val="0"/>
          <w:numId w:val="12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تشبيه خطير يدلّ على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القرابة السلوكيّة لا النسبيّة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2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لأنّ الشيطان يُفسد النعمة، والمبذّر كذلك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5.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الاعتدال النفسيّ والاقتصاديّ (الآيات 28–29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)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﴿فَقُل لَّهُمْ قَوْلًا مَّيْسُورًا﴾</w:t>
      </w:r>
    </w:p>
    <w:p w:rsidR="007B1768" w:rsidRPr="007B1768" w:rsidRDefault="007B1768" w:rsidP="007B1768">
      <w:pPr>
        <w:numPr>
          <w:ilvl w:val="0"/>
          <w:numId w:val="1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حتّى عند العجز عن العطاء، يبقى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الأدب واجبًا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﴿وَلَا تَجْعَلْ يَدَكَ مَغْلُولَةً﴾</w:t>
      </w:r>
    </w:p>
    <w:p w:rsidR="007B1768" w:rsidRPr="007B1768" w:rsidRDefault="007B1768" w:rsidP="007B1768">
      <w:pPr>
        <w:numPr>
          <w:ilvl w:val="0"/>
          <w:numId w:val="14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كناية عن البخل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﴿وَلَا تَبْسُطْهَا كُلَّ ٱلْبَسْطِ﴾</w:t>
      </w:r>
    </w:p>
    <w:p w:rsidR="007B1768" w:rsidRPr="007B1768" w:rsidRDefault="007B1768" w:rsidP="007B1768">
      <w:pPr>
        <w:numPr>
          <w:ilvl w:val="0"/>
          <w:numId w:val="15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كناية عن الإسراف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﴿فَتَقْعُدَ مَلُومًا مَّحْسُورًا﴾</w:t>
      </w:r>
    </w:p>
    <w:p w:rsidR="007B1768" w:rsidRPr="007B1768" w:rsidRDefault="007B1768" w:rsidP="007B1768">
      <w:pPr>
        <w:numPr>
          <w:ilvl w:val="0"/>
          <w:numId w:val="16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نتيجة الإفراط أو التفريط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 xml:space="preserve">: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الندم الاجتماعيّ والنفسيّ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ثالثًا: الخلاصة المنهجيّة</w:t>
      </w:r>
    </w:p>
    <w:p w:rsidR="007B1768" w:rsidRPr="007B1768" w:rsidRDefault="007B1768" w:rsidP="007B176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lastRenderedPageBreak/>
        <w:t>تُظهر هذه الآيات ـ وفق الرؤية الإماميّة ـ أنّ الإسلام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:</w:t>
      </w:r>
    </w:p>
    <w:p w:rsidR="007B1768" w:rsidRPr="007B1768" w:rsidRDefault="007B1768" w:rsidP="007B1768">
      <w:pPr>
        <w:numPr>
          <w:ilvl w:val="0"/>
          <w:numId w:val="1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يبدأ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بالتوحيد</w:t>
      </w: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 أساسًا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يربط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الأخلاق بالعقيدة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يجعل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الأسرة نواة المجتمع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>يؤسّس لاقتصادٍ أخلاقيّ معتدل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7B1768" w:rsidRPr="007B1768" w:rsidRDefault="007B1768" w:rsidP="007B1768">
      <w:pPr>
        <w:numPr>
          <w:ilvl w:val="0"/>
          <w:numId w:val="1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B1768">
        <w:rPr>
          <w:rFonts w:ascii="Simplified Arabic" w:hAnsi="Simplified Arabic" w:cs="Simplified Arabic"/>
          <w:sz w:val="32"/>
          <w:szCs w:val="32"/>
          <w:rtl/>
        </w:rPr>
        <w:t xml:space="preserve">يُخضع السلوك كلّه </w:t>
      </w:r>
      <w:r w:rsidRPr="007B1768">
        <w:rPr>
          <w:rFonts w:ascii="Simplified Arabic" w:hAnsi="Simplified Arabic" w:cs="Simplified Arabic"/>
          <w:b/>
          <w:bCs/>
          <w:sz w:val="32"/>
          <w:szCs w:val="32"/>
          <w:rtl/>
        </w:rPr>
        <w:t>لرقابة النيّة والضمير</w:t>
      </w:r>
      <w:r w:rsidRPr="007B1768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D96586" w:rsidRPr="007B1768" w:rsidRDefault="007B1768" w:rsidP="007B1768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اعداد: الدكتور أحمد موفق مهدي</w:t>
      </w:r>
      <w:bookmarkStart w:id="0" w:name="_GoBack"/>
      <w:bookmarkEnd w:id="0"/>
    </w:p>
    <w:sectPr w:rsidR="00D96586" w:rsidRPr="007B1768" w:rsidSect="003E49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3ED"/>
    <w:multiLevelType w:val="multilevel"/>
    <w:tmpl w:val="6C78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84F79"/>
    <w:multiLevelType w:val="multilevel"/>
    <w:tmpl w:val="1D8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307ED"/>
    <w:multiLevelType w:val="multilevel"/>
    <w:tmpl w:val="9F4A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34C80"/>
    <w:multiLevelType w:val="multilevel"/>
    <w:tmpl w:val="367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537D0"/>
    <w:multiLevelType w:val="multilevel"/>
    <w:tmpl w:val="B75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F5F47"/>
    <w:multiLevelType w:val="multilevel"/>
    <w:tmpl w:val="CD1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D1D90"/>
    <w:multiLevelType w:val="multilevel"/>
    <w:tmpl w:val="8AB4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058E9"/>
    <w:multiLevelType w:val="multilevel"/>
    <w:tmpl w:val="64B0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63E88"/>
    <w:multiLevelType w:val="multilevel"/>
    <w:tmpl w:val="4E2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37AB6"/>
    <w:multiLevelType w:val="multilevel"/>
    <w:tmpl w:val="C60E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C776C"/>
    <w:multiLevelType w:val="multilevel"/>
    <w:tmpl w:val="952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92205"/>
    <w:multiLevelType w:val="multilevel"/>
    <w:tmpl w:val="B0DA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94841"/>
    <w:multiLevelType w:val="multilevel"/>
    <w:tmpl w:val="2CB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514B5"/>
    <w:multiLevelType w:val="multilevel"/>
    <w:tmpl w:val="149C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D1291"/>
    <w:multiLevelType w:val="multilevel"/>
    <w:tmpl w:val="FA4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0E4F51"/>
    <w:multiLevelType w:val="multilevel"/>
    <w:tmpl w:val="373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91DC9"/>
    <w:multiLevelType w:val="multilevel"/>
    <w:tmpl w:val="D89E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8"/>
    <w:rsid w:val="003E4940"/>
    <w:rsid w:val="00623B33"/>
    <w:rsid w:val="007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88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62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90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798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61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028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16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779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499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5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41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84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394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397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21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20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97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58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548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37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769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63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00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297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64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46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14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14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35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44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2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google</cp:lastModifiedBy>
  <cp:revision>2</cp:revision>
  <dcterms:created xsi:type="dcterms:W3CDTF">2026-01-17T12:04:00Z</dcterms:created>
  <dcterms:modified xsi:type="dcterms:W3CDTF">2026-01-17T12:07:00Z</dcterms:modified>
</cp:coreProperties>
</file>